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LT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II PRIEDAS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„II PRIEDAS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INFORMACIJOS APIE NUOSAVAS LĖŠAS IR NUOSAVŲ LĖŠŲ REIKALAVIMUS TEIKIMO NURODYMAI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Turinys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 DALIS.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BENDRIEJI NURODYMAI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STRUKTŪRA IR TVARKA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STRUKTŪRA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NUMERAVIMO TVARKA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ŽENKLŲ TVARKA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II DALIS.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SU FORMA SUSIJĘ NURODYMAI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KAPITALO PAKANKAMUMO APŽVALGA (CA)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01.00. NUOSAVOS LĖŠOS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02.00. NUOSAVŲ LĖŠŲ REIKALAVIMAI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03.00. KAPITALO PAKANKAMUMO KOEFICIENTAI IR KAPITALO LYGIAI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04.00. PAPILDOMI STRAIPSNIAI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PEREINAMOJO LAIKOTARPIO NUOSTATOS ir PRIEMONĖS, KURIOMS TAIKOMAS TĘSTINUMO PRINCIPAS.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PRIEMONĖS, KURIOS NĖRA VALSTYBĖS PAGALBA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05.01. PEREINAMOJO LAIKOTARPIO NUOSTATOS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05.02. PRIEMONĖS, KURIOMS TAIKOMAS TĘSTINUMO PRINCIPAS,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KURIOS NĖRA VALSTYBĖS PAGALBA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GRUPĖS MOKUMAS.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INFORMACIJA APIE SUSIJUSIUS SUBJEKTUS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IŠSAMI INFORMACIJA APIE GRUPĖS MOKUMĄ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INFORMACIJA APIE ATSKIRŲ SUBJEKTŲ INDĖLĮ Į GRUPĖS MOKUMĄ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06.01. GRUPĖS MOKUMAS.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INFORMACIJA APIE SUSIJUSIUS SUBJEKTUS. BENDRA SUMA (GS 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06.02. GRUPĖS MOKUMAS.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INFORMACIJA APIE SUSIJUSIUS SUBJEKTUS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KREDITO RIZIKOS FORMOS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INFORMACIJOS APIE KRM METODUS, TURINČIUS PAKEITIMO POVEIKĮ, TEIKIMAS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INFORMACIJOS APIE SANDORIO ŠALIES KREDITO RIZIKĄ TEIKIMAS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07.00. KREDITO RIZIKA, SANDORIO ŠALIES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STANDARTIZUOTAS METODAS, TAIKOMAS KAPITALO REIKALAVIMAMS APSKAIČIUOTI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SA FORMOS TURINYS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POZICIJŲ PRISKYRIMAS PRIE POZICIJŲ KLASIŲ PAGAL STANDARTIZUOTĄ METODĄ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KAI KURIŲ REGLAMENTO (ES) NR. 575/2013 112 STRAIPSNYJE NURODYTŲ KONKREČIŲ POZICIJŲ KLASIŲ APIMTIES PAAIŠKINIMAI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POZICIJŲ KLASĖ „ĮSTAIGŲ POZICIJOS“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POZICIJŲ KLASĖ „PADENGTŲJŲ OBLIGACIJŲ POZICIJOS“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POZICIJŲ KLASĖ „POZICIJOS, KURIAS SUDARO KOLEKTYVINIO INVESTAVIMO SUBJEKTŲ (KIS) INVESTICINIAI VIENETAI ARBA AKCIJOS“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KREDITO RIZIKA, SANDORIO ŠALIES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NUOSAVŲ LĖŠŲ REIKALAVIMAMS APSKAIČIUOTI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IRB FORMOS TURINYS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IRB FORMOS SUSKIRSTYMAS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08.02. KREDITO RIZIKA, SANDORIO ŠALIES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SUSKIRSTYMAS PAGAL ĮSIPAREIGOJANČIOJO ASMENS RANGUS ARBA GRUPES (CR IRB 2 FORMA)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 (SUSKIRSTYMAS PAGAL PD SKALES (CR IRB 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 (RWEA SRAUTŲ ATASKAITOS (CR IRB 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 (PD GRĮŽTAMASIS PATIKRINIMAS (CR IRB 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PD GRĮŽTAMASIS PATIKRINIMAS PAGAL REGLAMENTO (ES) Nr. 575/2013 180 STRAIPSNIO 1 DALIES F PUNKTĄ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 (SPECIALIZUOTO SKOLINIMO SKIRSTYMO METODAS (CR IRB 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08.07.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METODAS, TAIKOMAS KAPITALO REIKALAVIMAMS APSKAIČIUOTI (IRB IR SA METODŲ TAIKYMO SRITIS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KREDITO RIZIKA, SANDORIO ŠALIES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GEOGRAFINIS SUSKIRSTYMAS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09.01. GEOGRAFINIS POZICIJŲ SUSKIRSTYMAS PAGAL ĮSIPAREIGOJANČIOJO ASMENS ĮSISTEIGIMO VIETĄ.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POZICIJOS, KURIOMS TAIKOMAS SA METODAS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09.02. GEOGRAFINIS POZICIJŲ SUSKIRSTYMAS PAGAL ĮSIPAREIGOJANČIOJO ASMENS ĮSISTEIGIMO VIETĄ.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POZICIJOS, KURIOMS TAIKOMAS IRB METODAS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09.04. KREDITO POZICIJŲ, KURIOS SVARBIOS APSKAIČIUOJANT ANTICIKLINĮ KAPITALO REZERVĄ, SUSKIRSTYMAS PAGAL ŠALĮ IR ĮSTAIGOS SPECIALAUS KAPITALO REZERVO NORMA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10.00. KREDITO RIZIKA, SANDORIO ŠALIES KREDITO RIZIKA IR NEBAIGTI SANDORIAI.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POZICIJOS, KURIOMS TAIKOMA REZULTATŲ APATINĖ RIBA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BENDROSIOS PASTABOS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ir C 10.02. NUOSAVYBĖS VERTYBINIŲ POPIERIŲ POZICIJOS, KURIOMS TAIKOMAS VIDAUS REITINGAIS PAGRĮSTAS METODAS (CR EQU IRB 1 IR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 (TAIKOMI IR CR EQU IRB 1, IR CR EQU IRB 2 FORMAI)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11.00. ATSISKAITYMO / PRISTATYMO RIZIKA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13.01. KREDITO RIZIKA. PAKEITIMAS VERTYBINIAIS POPIERIAIS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IŠSAMI INFORMACIJA APIE PAKEITIMĄ VERTYBINIAIS POPIERIAIS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SEC DETAILS FORMOS TURINYS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 SEC DETAILS FORMOS SUSKIRSTYMAS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3.8.3. C 14.00. IŠSAMI INFORMACIJA APIE PAKEITIMĄ VERTYBINIAIS POPIERIAIS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14.01. IŠSAMI INFORMACIJA APIE PAKEITIMĄ VERTYBINIAIS POPIERIAIS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SANDORIO ŠALIES KREDITO RIZIKA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SANDORIO ŠALIES KREDITO RIZIKOS FORMŲ TURINYS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34.01. SU IŠVESTINĖMIS FINANSINĖMIS PRIEMONĖMIS SUSIJUSIOS VEIKLOS DYDIS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34.02. CCR POZICIJOS PAGAL METODĄ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34.03. CCR POZICIJOS, KURIOMS TAIKOMI STANDARTIZUOTI METODAI.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IR SUPAPRASTINTAS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34.04. CCR POZICIJOS, KURIOMS TAIKOMAS PRADINĖS POZICIJOS METODAS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34.05. CCR POZICIJOS, KURIOMS TAIKOMAS VIDAUS MODELIO METODAS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34.06. DVIDEŠIMT DIDŽIAUSIŲ SANDORIO ŠALIŲ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34.07. IRB METODAS. CCR POZICIJOS PAGAL POZICIJŲ KLASĘ IR PD SKALĘ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34.08. CCR POZICIJŲ UŽTIKRINIMO PRIEMONIŲ SUDĖTIS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34.09. KREDITO IŠVESTINIŲ FINANSINIŲ PRIEMONIŲ POZICIJOS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34.10. PSŠ POZICIJOS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34.11. CCR POZICIJŲ PAGAL RIZIKĄ ĮVERTINTŲ POZICIJŲ SUMŲ (RWEA) SRAUTŲ ATASKAITOS PAGAL IMM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OPERACINĖS RIZIKOS FORMOS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16.00. OPERACINĖ RIZIKA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OPERACINĖ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IŠSAMI INFORMACIJA APIE PRAĖJUSIŲ METŲ NUOSTOLIUS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OPERACINĖS RIZIKOS NUOSTOLIAI IR SUSIGRĄŽINTOS SUMOS PAGAL VERSLO LINIJĄ IR NUOSTOLIO ĮVYKIŲ RŪŠĮ PER PRAĖJUSIUS METUS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OPERACINĖ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IŠSAMI INFORMACIJA APIE PRAĖJUSIŲ METŲ DIDŽIAUSIUS NUOSTOLIO ĮVYKIUS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RINKOS RIZIKOS FORMOS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STANDARTIZUOTAS METODAS, TAIKOMAS SKOLOS PRIEMONIŲ, KURIOMIS PREKIAUJAMA, POZICIJŲ RIZIKAI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STANDARTIZUOTAS METODAS, TAIKOMAS SPECIFINEI PAKEITIMO VERTYBINIAIS POPIERIAIS RIZIKAI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STANDARTIZUOTAS METODAS, TAIKOMAS SPECIFINEI RIZIKAI, SUSIJUSIAI SU KORELIACINĖS PREKYBOS PORTFELIUI PRISKIRTOMIS POZICIJOMIS (MKR SA 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STANDARTIZUOTAS METODAS, TAIKOMAS NUOSAVYBĖS VERTYBINIŲ POPIERIŲ POZICIJOS RIZIKAI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STANDARTIZUOTI METODAI, TAIKOMI UŽSIENIO VALIUTOS KURSO RIZIKAI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23.00. RINKOS RIZIKA.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STANDARTIZUOTI METODAI, TAIKOMI BIRŽOS PREKĖMS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24.00. RINKOS RIZIKOS VIDAUS MODELIS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25.00. KREDITO VERTINIMO KOREGAVIMO RIZIKA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RIZIKOS RIBOJIMO PRINCIPAIS PAGRĮSTAS VERTINIMAS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32.01. RIZIKOS RIBOJIMO PRINCIPAIS PAGRĮSTAS VERTINIMAS.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TIKRĄJA VERTE ĮVERTINTAS TURTAS IR ĮSIPAREIGOJIMAI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32.02. RIZIKOS RIBOJIMO PRINCIPAIS PAGRĮSTAS VERTINIMAS.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PAGRINDINIS METODAS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32.03. RIZIKOS RIBOJIMO PRINCIPAIS PAGRĮSTAS VERTINIMAS.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MODELIO RIZIKOS AVA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 C 32.04. RIZIKOS RIBOJIMO PRINCIPAIS PAGRĮSTAS VERTINIMAS.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KONCENTRUOTŲ POZICIJŲ AVA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33.00. VALDŽIOS SEKTORIAUS POZICIJOS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VALDŽIOS SEKTORIAUS POZICIJŲ FORMOS TURINYS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NEVEIKSNIŲ POZICIJŲ NUOSTOLIŲ PADENGIMAS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35.01. NEVEIKSNIŲ POZICIJŲ ATSKAITYMŲ APSKAIČIAVIMAS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35.02. NEVEIKSNIŲ POZICIJŲ, IŠSKYRUS RESTRUKTŪRIZUOTAS POZICIJAS, KURIOMS TAIKOMA REGLAMENTO (ES) Nr. 575/2013 47C STRAIPSNIO 6 DALIS, MINIMALAUS PADENGIMO REIKALAVIMAI IR POZICIJŲ VERTĖS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35.03. NEVEIKSNIŲ RESTRUKTŪRIZUOTŲ POZICIJŲ, KURIOMS TAIKOMA REGLAMENTO (ES) Nr. 575/2013 47C STRAIPSNIO 6 DALIS, MINIMALAUS PADENGIMO REIKALAVIMAI IR POZICIJŲ VERTĖS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NURODYMAI DĖL KONKREČIŲ POZICIJŲ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PREKYBOS KNYGOS IR RINKOS RIZIKOS RIBINĖS VERTĖS, PREKYBOS KNYGOS IR NE PREKYBOS KNYGOS RIBA IR PERKLASIFIKAVIMAS IŠ VIENOS Į KITĄ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90.00. PREKYBOS KNYGOS IR RINKOS RIZIKOS RIBINĖS VERTĖS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 PREKYBOS KNYGOS IR NE PREKYBOS KNYGOS RIBA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BENDROSIOS PASTABOS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90.05. RIBA.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PREKYBOS KNYGA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9.2.2.1. BENDROSIOS PASTABOS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9.2.2.2. NURODYMAI DĖL KONKREČIŲ POZICIJŲ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90.06. RIBA.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NE PREKYBOS KNYGA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9.2.3.1. BENDROSIOS PASTABOS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9.2.3.2. NURODYMAI DĖL KONKREČIŲ POZICIJŲ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9.3. C 24.01. PREKYBOS KNYGOS RIBA. PERKLASIFIKAVIMAS IŠ VIENOS KNYGOS Į KITĄ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36.00. KRIPTOTURTO POZICIJOS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10.1. BENDROSIOS PASTABOS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NURODYMAI DĖL KONKREČIŲ POZICIJŲ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I DALIS.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BENDRIEJI NURODYMAI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STRUKTŪRA IR TVARKA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STRUKTŪRA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Sistemą iš viso sudaro šešios teminės sritys: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kapitalo pakankamumas, reguliuojamojo kapitalo apžvalga, bendra rizikos pozicijos suma;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rizikos ribojimo principais pagrįstas vertinimas;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neveiksnių pozicijų nuostolių padengimas;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grupės mokumas, visų atskirų subjektų, įtrauktų į informaciją teikiančio subjekto konsolidavimo apimtį, mokumo reikalavimų laikymosi apžvalga;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kredito rizika (įskaitant sandorio šalies riziką, gautinų sumų sumažėjimo riziką ir atsiskaitymo riziką);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rinkos rizika (įskaitant prekybos knygos pozicijų riziką, užsienio valiutos kurso riziką, biržos prekių kainos ir kredito vertinimo koregavimo riziką);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operacinė rizika;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valdžios sektoriaus pozicijos;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kriptoturto pozicijos.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Kiekvienai formai pateikiamos nuorodos į teisės aktus.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Papildoma išsamesnė informacija apie bendresnius informacijos teikimo pagal kiekvieną formų grupę aspektus, nurodymai dėl konkrečių pozicijų, taip pat patvirtinimo taisyklės yra pateikti šioje šio įgyvendinimo reglamento dalyje.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Įstaigos turi pildyti tik joms aktualias formas, atsižvelgdamos į nuosavų lėšų reikalavimams nustatyti taikomą metodą.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Numeravimo tvarka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Dokumente nurodant formų skiltis, eilutes ir laukelius taikoma 5–8 punktuose nurodyta žymėjimo tvarka.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Tie skaitiniai kodai plačiai naudojami patvirtinimo taisyklėse.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Nurodymuose laikomasi šios bendros žymėjimo tvarkos: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{forma;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eilutė;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skiltis}.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Kai tvirtinimas atliekamas formoje ir naudojami tik tos formos duomenų vienetai, forma nenurodoma: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{eilutė;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skiltis}.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Kai formą sudaro tik viena skiltis, nurodomos tik eilutės: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{forma;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eilutė}.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Žvaigždutės ženklas naudojamas, kai norima pažymėti, kad tvirtinamos anksčiau nurodytos eilutės arba skiltys.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Ženklų tvarka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Visos sumos, dėl kurių nuosavos lėšos arba kapitalo reikalavimai padidėja, nurodomos teigiamu skaičiumi.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Priešingai – visos sumos, dėl kurių bendra nuosavų lėšų suma arba kapitalo reikalavimai mažėja, nurodomos neigiamu skaičiumi.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Prieš straipsnio pavadinimą įrašytas minuso ženklas (−) reiškia prielaidą, kad tame straipsnyje teigiamas skaičius nebus rašomas.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[tuščia]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lt-LT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lt-LT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lt-L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lt-LT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lt-L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lt-LT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lt-LT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lt-LT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lt-L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lt-LT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lt-L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lt-L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lt-L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lt-LT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lt-L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lt-LT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lt-LT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lt-LT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lt-L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lt-L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lt-LT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lt-LT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lt-LT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lt-LT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lt-L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lt-L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lt-LT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lt-LT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lt-LT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lt-L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lt-LT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lt-L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lt-LT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lt-L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lt-LT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lt-LT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lt-LT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lt-LT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t-LT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lt-L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lt-LT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lt-L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lt-LT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CDBAF-D5DE-469C-9E4C-BC0C078FBA92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